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DF8A6" w14:textId="24066542" w:rsidR="002877C0" w:rsidRDefault="002877C0" w:rsidP="005C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97838460"/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1A98D7C4" w14:textId="77777777" w:rsidR="002877C0" w:rsidRDefault="002877C0" w:rsidP="005C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749A3D90" w14:textId="77777777" w:rsidR="002877C0" w:rsidRPr="00582A12" w:rsidRDefault="002877C0" w:rsidP="005C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38A277" w14:textId="77777777" w:rsidR="002877C0" w:rsidRDefault="002877C0" w:rsidP="005C01E8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Д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У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МА</w:t>
      </w:r>
    </w:p>
    <w:p w14:paraId="03BD9177" w14:textId="77777777" w:rsidR="002877C0" w:rsidRDefault="002877C0" w:rsidP="005C0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23ABB" w14:textId="77777777" w:rsidR="002877C0" w:rsidRDefault="002877C0" w:rsidP="005C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113C9C4" w14:textId="77777777" w:rsidR="002877C0" w:rsidRDefault="002877C0" w:rsidP="005C0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300FA9" w14:textId="21BEAA25" w:rsidR="002877C0" w:rsidRDefault="009F63E6" w:rsidP="005C0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16.09</w:t>
      </w:r>
      <w:r w:rsidR="00582A12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</w:r>
      <w:r w:rsidR="00582A12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31D5ADB9" w14:textId="77777777" w:rsidR="002877C0" w:rsidRDefault="002877C0" w:rsidP="005C01E8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21C4D" w14:textId="77777777" w:rsidR="002877C0" w:rsidRDefault="002877C0" w:rsidP="005C01E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информации о состоянии </w:t>
      </w:r>
    </w:p>
    <w:p w14:paraId="67A4A158" w14:textId="77777777" w:rsidR="002877C0" w:rsidRDefault="002877C0" w:rsidP="005C01E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законности и результатах надзорной </w:t>
      </w:r>
    </w:p>
    <w:p w14:paraId="31CE920C" w14:textId="77777777" w:rsidR="002877C0" w:rsidRDefault="002877C0" w:rsidP="005C01E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 на территории </w:t>
      </w:r>
    </w:p>
    <w:p w14:paraId="5CC5B179" w14:textId="77777777" w:rsidR="002877C0" w:rsidRDefault="002877C0" w:rsidP="005C01E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27364401" w14:textId="66DB7DEF" w:rsidR="002877C0" w:rsidRDefault="002877C0" w:rsidP="005C01E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37AC2">
        <w:rPr>
          <w:rFonts w:ascii="Times New Roman" w:eastAsia="Calibri" w:hAnsi="Times New Roman" w:cs="Times New Roman"/>
          <w:sz w:val="28"/>
          <w:szCs w:val="28"/>
        </w:rPr>
        <w:t>первое полугодие 2022 года</w:t>
      </w:r>
    </w:p>
    <w:p w14:paraId="67DB940E" w14:textId="77777777" w:rsidR="002877C0" w:rsidRDefault="002877C0" w:rsidP="005C01E8">
      <w:pPr>
        <w:pStyle w:val="ConsNormal"/>
        <w:widowControl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CBD80A" w14:textId="79F77189" w:rsidR="002877C0" w:rsidRDefault="002877C0" w:rsidP="005C01E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состоянии законности и результатах надзорной деятельности на территории Ханты-Мансийского района за </w:t>
      </w:r>
      <w:r w:rsidR="00437AC2">
        <w:rPr>
          <w:rFonts w:ascii="Times New Roman" w:eastAsia="Calibri" w:hAnsi="Times New Roman" w:cs="Times New Roman"/>
          <w:sz w:val="28"/>
          <w:szCs w:val="28"/>
        </w:rPr>
        <w:t xml:space="preserve">первое полугодие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437AC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37AC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представленную Ханты-Мансийской межрайонной прокуратурой, руководствуясь частью 1 статьи 31 Устава Ханты-Мансийского района, </w:t>
      </w:r>
    </w:p>
    <w:p w14:paraId="402BFA9C" w14:textId="77777777" w:rsidR="002877C0" w:rsidRDefault="002877C0" w:rsidP="005C01E8">
      <w:pPr>
        <w:pStyle w:val="ConsNormal"/>
        <w:widowControl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39F9A0" w14:textId="77777777" w:rsidR="002877C0" w:rsidRDefault="002877C0" w:rsidP="005C01E8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352A6FDA" w14:textId="77777777" w:rsidR="002877C0" w:rsidRDefault="002877C0" w:rsidP="005C01E8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811DA6F" w14:textId="77777777" w:rsidR="002877C0" w:rsidRDefault="002877C0" w:rsidP="005C01E8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FF59ECE" w14:textId="77777777" w:rsidR="002877C0" w:rsidRDefault="002877C0" w:rsidP="005C01E8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DA0D71" w14:textId="3F94AEBC" w:rsidR="002877C0" w:rsidRDefault="002877C0" w:rsidP="005C01E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eastAsia="Calibri" w:hAnsi="Times New Roman" w:cs="Times New Roman"/>
          <w:sz w:val="28"/>
          <w:szCs w:val="28"/>
        </w:rPr>
        <w:t>о состоянии законности и результатах надзорной деятельности на территории Ханты-Мансийского района за</w:t>
      </w:r>
      <w:r w:rsidR="00437AC2">
        <w:rPr>
          <w:rFonts w:ascii="Times New Roman" w:eastAsia="Calibri" w:hAnsi="Times New Roman" w:cs="Times New Roman"/>
          <w:sz w:val="28"/>
          <w:szCs w:val="28"/>
        </w:rPr>
        <w:t xml:space="preserve"> первое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37AC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37AC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14:paraId="44428244" w14:textId="77777777" w:rsidR="002877C0" w:rsidRDefault="002877C0" w:rsidP="005C01E8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C38DA" w14:textId="77777777" w:rsidR="002877C0" w:rsidRDefault="002877C0" w:rsidP="005C01E8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D7611" w14:textId="77777777" w:rsidR="002877C0" w:rsidRDefault="002877C0" w:rsidP="005C01E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Председатель Думы</w:t>
      </w:r>
    </w:p>
    <w:p w14:paraId="4C874AAF" w14:textId="4C9785D7" w:rsidR="002877C0" w:rsidRDefault="005C01E8" w:rsidP="005C01E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2877C0">
        <w:rPr>
          <w:rFonts w:ascii="Times New Roman" w:eastAsia="Calibri" w:hAnsi="Times New Roman" w:cs="Times New Roman"/>
          <w:bCs/>
          <w:sz w:val="28"/>
          <w:szCs w:val="28"/>
        </w:rPr>
        <w:t xml:space="preserve">Е.А. Данилова  </w:t>
      </w:r>
    </w:p>
    <w:p w14:paraId="7D48F39D" w14:textId="3EEF96F8" w:rsidR="002877C0" w:rsidRDefault="009F63E6" w:rsidP="005C01E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«___» ____________ 2022 года</w:t>
      </w:r>
    </w:p>
    <w:p w14:paraId="17DF27C9" w14:textId="77777777" w:rsidR="005C0172" w:rsidRDefault="005C0172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67060AE8" w14:textId="77777777" w:rsidR="005C0172" w:rsidRDefault="005C0172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6DDD4BA8" w14:textId="77777777" w:rsidR="005C0172" w:rsidRDefault="005C0172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5DAC6304" w14:textId="77777777" w:rsidR="005C0172" w:rsidRDefault="005C0172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395F7B60" w14:textId="77777777" w:rsidR="005C0172" w:rsidRDefault="005C0172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37C9C223" w14:textId="77777777" w:rsidR="005C01E8" w:rsidRDefault="005C01E8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390ACDB8" w14:textId="77777777" w:rsidR="005C01E8" w:rsidRDefault="005C01E8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52299866" w14:textId="77777777" w:rsidR="005C01E8" w:rsidRDefault="005C01E8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20C8592C" w14:textId="77777777" w:rsidR="005C01E8" w:rsidRDefault="005C01E8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  <w:lang w:val="en-US"/>
        </w:rPr>
      </w:pPr>
    </w:p>
    <w:p w14:paraId="6A4226B1" w14:textId="77777777" w:rsidR="007B68C0" w:rsidRDefault="007B68C0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  <w:lang w:val="en-US"/>
        </w:rPr>
      </w:pPr>
    </w:p>
    <w:p w14:paraId="06D3388F" w14:textId="77777777" w:rsidR="007B68C0" w:rsidRDefault="007B68C0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  <w:lang w:val="en-US"/>
        </w:rPr>
      </w:pPr>
    </w:p>
    <w:p w14:paraId="702D7AC5" w14:textId="77777777" w:rsidR="007B68C0" w:rsidRPr="007B68C0" w:rsidRDefault="007B68C0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  <w:lang w:val="en-US"/>
        </w:rPr>
      </w:pPr>
    </w:p>
    <w:p w14:paraId="4111B7D7" w14:textId="77777777" w:rsidR="005C01E8" w:rsidRDefault="005C01E8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6CA37B4B" w14:textId="469BEC20" w:rsidR="007B68C0" w:rsidRPr="007B68C0" w:rsidRDefault="007B68C0" w:rsidP="007B68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Приложение</w:t>
      </w:r>
    </w:p>
    <w:p w14:paraId="56BDE7CD" w14:textId="77777777" w:rsidR="007B68C0" w:rsidRPr="007B68C0" w:rsidRDefault="007B68C0" w:rsidP="007B68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B68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 решению Думы</w:t>
      </w:r>
    </w:p>
    <w:p w14:paraId="4E72918B" w14:textId="77777777" w:rsidR="007B68C0" w:rsidRDefault="007B68C0" w:rsidP="007B68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B68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Ханты-Мансийского района</w:t>
      </w:r>
    </w:p>
    <w:p w14:paraId="66BE6E5A" w14:textId="40AA13F1" w:rsidR="007B68C0" w:rsidRPr="007B68C0" w:rsidRDefault="007B68C0" w:rsidP="007B68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16.09.2022 № ___</w:t>
      </w:r>
    </w:p>
    <w:p w14:paraId="36276CBB" w14:textId="11006EFA" w:rsidR="007B68C0" w:rsidRPr="007B68C0" w:rsidRDefault="007B68C0" w:rsidP="007B68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A3FE93" w14:textId="77777777" w:rsidR="007B68C0" w:rsidRPr="007B68C0" w:rsidRDefault="007B68C0" w:rsidP="007B68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Информация</w:t>
      </w:r>
    </w:p>
    <w:p w14:paraId="526A436A" w14:textId="77777777" w:rsidR="007B68C0" w:rsidRPr="007B68C0" w:rsidRDefault="007B68C0" w:rsidP="007B68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о состоянии законности по территории Ханты-Мансийского района  и результатах надзорной деятельности Ханты-Мансийской межрайонной прокуратуры за 1 полугодие 2022 года</w:t>
      </w:r>
    </w:p>
    <w:p w14:paraId="51A916A5" w14:textId="77777777" w:rsidR="007B68C0" w:rsidRPr="007B68C0" w:rsidRDefault="007B68C0" w:rsidP="007B68C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75EA5F1" w14:textId="77777777" w:rsidR="007B68C0" w:rsidRPr="007B68C0" w:rsidRDefault="007B68C0" w:rsidP="007B68C0">
      <w:pPr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В 1 полугодии 2022 года надзорная деятельность межрайонной прокуратуры строилась с учетом складывающейся в стране ситуации, указаний руководства государства, Генеральной прокуратуры Российской Федерации.</w:t>
      </w:r>
    </w:p>
    <w:p w14:paraId="3510ED43" w14:textId="57CBDD7D" w:rsidR="007B68C0" w:rsidRPr="007B68C0" w:rsidRDefault="007B68C0" w:rsidP="007B68C0">
      <w:pPr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Совместно с правоохранительными органами, органами государственной власти и местного самоуправления принимались меры по обеспечению соблюдения законности и правопорядка, безопасности, недопущению роста социальной напряженности.</w:t>
      </w:r>
    </w:p>
    <w:p w14:paraId="656AED98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В текущем году повышенное внимание уделялось прокуратурой вопросам соблюдения социальных прав граждан, исполнению законодательства в сфере жилищно-коммунального хозяйства, охраны природы, расходованию бюджетных средств органами власти и учреждениями, защите прав субъектов предпринимательской деятельности, реализации национальных проектов, противодействию проявлениям коррупции, борьбе с преступностью.</w:t>
      </w:r>
    </w:p>
    <w:p w14:paraId="5229BA48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За прошедшие полгода в межрайонную прокуратуру обратилось более 1100 граждан, организаций и предпринимателей, из них более семи с половиной сотен обращений рассмотрены непосредственно в прокуратуре. Каждая пятая жалоба признана обоснованной, прокуратурой приняты меры реагирования.</w:t>
      </w:r>
    </w:p>
    <w:p w14:paraId="25DC42BC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Традиционно наибольшее количество обращений, поступающих в прокуратуру – это обращения о нарушениях трудовых прав граждан, законодательства в сфере ЖКХ, об исполнительном производстве, пенсионного законодательства и законодательство о социальной поддержки граждан, по вопросам деятельности правоохранительных органов.</w:t>
      </w:r>
      <w:proofErr w:type="gramEnd"/>
    </w:p>
    <w:p w14:paraId="0DF8F354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Основаниями для принятия мер прокурорского реагирования являются не только результаты рассмотрения обращений, но и результаты иных проверочных мероприятий, анализ состояния законности в конкретной сфере.</w:t>
      </w:r>
    </w:p>
    <w:p w14:paraId="229B8681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Всего за прошедшие полгода выявлено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более тысячи нарушений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закона. Для устранения нарушений закона принято порядка 500 актов прокурорского реагирования, к административной и дисциплинарной ответственности по мерам прокурорского реагирования привлечено более 200 лиц, к уголовной – 12 лиц. Фактически восстановлены права полутора сотен граждан.</w:t>
      </w:r>
    </w:p>
    <w:p w14:paraId="4383C40D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Учитывая, что залогом осуществления возложенных на органы местного самоуправления является соответствующая законодательству нормативная база, сфера нормотворчества органов местного самоуправления оставалась одной из актуальных в этом году. Межрайонной прокуратурой проверено на предмет соответствия действующему законодательству и проведена антикоррупционная экспертиза более 600 нормативных правовых актов органов местного самоуправления и их проектов.   </w:t>
      </w:r>
    </w:p>
    <w:p w14:paraId="3105019D" w14:textId="77777777" w:rsidR="007B68C0" w:rsidRPr="007B68C0" w:rsidRDefault="007B68C0" w:rsidP="007B6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До настоящего времени вопрос своевременного приведения муниципальных нормативных правовых актов в соответствие с действующим законодательством органам местного самоуправления Ханты-Мансийского района и сельским поселениям Ханты-Мансийского района остается в разряде проблемных.</w:t>
      </w:r>
    </w:p>
    <w:p w14:paraId="281BA42D" w14:textId="77777777" w:rsidR="007B68C0" w:rsidRPr="007B68C0" w:rsidRDefault="007B68C0" w:rsidP="007B6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Межрайонной прокуратурой опротестовано два десятка муниципальных нормативных правовых актов. По фактам не надлежащей нормотворческой деятельности внесено 2 десятка представлений. Данные показатели не свидетельствуют о позитивной тенденции, поскольку в прошлом году таких актов прокурорского реагирования принималось меньше.</w:t>
      </w:r>
    </w:p>
    <w:p w14:paraId="47761868" w14:textId="77777777" w:rsidR="007B68C0" w:rsidRPr="007B68C0" w:rsidRDefault="007B68C0" w:rsidP="007B6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Результаты прокурорского надзора свидетельствуют не только о том, что методическая помощь сельским поселениям в вопросах нормотворческой деятельности не оказывается, но и правовые акты администрации района своевременно не корректируются, необходимый мониторинг изменений действующего законодательства не ведется, результаты такого мониторинга оперативно в работу не внедряются.</w:t>
      </w:r>
    </w:p>
    <w:p w14:paraId="18932141" w14:textId="77777777" w:rsidR="007B68C0" w:rsidRPr="007B68C0" w:rsidRDefault="007B68C0" w:rsidP="007B6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Например, не смотря на вступление в силу 01.01.2022 Федерального закона № 123-ФЗ от 30.04.2021, которым исключены полномочия органов местного самоуправления на осуществление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контроля за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использованием и охранной недр при добыче общераспространенных полезных ископаемых, действовавшие правовые акты администрации района в данной сфере своевременно отменены не были вплоть до их опротестования 24.02.2022. </w:t>
      </w:r>
    </w:p>
    <w:p w14:paraId="5F6F7B6D" w14:textId="77777777" w:rsidR="007B68C0" w:rsidRPr="007B68C0" w:rsidRDefault="007B68C0" w:rsidP="007B6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Также, до настоящего времени не приведено в соответствие </w:t>
      </w:r>
      <w:r w:rsidRPr="007B68C0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решение Думы Ханты-Мансийского района от 24.03.2016 № 579 «О порядке проведения конкурса по отбору кандидатур на должность Главы Ханты-Мансийского района» несмотря на то, что протест прокурора Думой района рассмотрен еще 20.05.2022, что также свидетельствует о недостаточной работе представительного органа по корректировке своей нормативной правовой базы.</w:t>
      </w:r>
      <w:proofErr w:type="gramEnd"/>
    </w:p>
    <w:p w14:paraId="52DEE302" w14:textId="77777777" w:rsidR="007B68C0" w:rsidRPr="007B68C0" w:rsidRDefault="007B68C0" w:rsidP="007B6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В сфере надзора за соблюдением прав человека и гражданина наиболее актуальными являются вопросы обеспечения трудовых прав граждан, в том числе на своевременную оплату труда.</w:t>
      </w:r>
    </w:p>
    <w:p w14:paraId="4BB79878" w14:textId="77777777" w:rsidR="007B68C0" w:rsidRPr="007B68C0" w:rsidRDefault="007B68C0" w:rsidP="007B68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Принятыми мерами пресечено более сотни нарушений в данной сфере и восстановлены права десятков граждан. В результате принятия межрайонной прокуратурой мер воздействия на работодателей, задерживающих выплату зарплаты, денежные средства работникам выплачивались еще на стадии проверки.</w:t>
      </w:r>
    </w:p>
    <w:p w14:paraId="5D611E24" w14:textId="77777777" w:rsidR="007B68C0" w:rsidRPr="007B68C0" w:rsidRDefault="007B68C0" w:rsidP="007B68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За нарушения трудовых прав работников по инициативе прокурора к дисциплинарной и административной ответственности привлечено свыше 30 должностных лиц работодателей.   </w:t>
      </w:r>
    </w:p>
    <w:p w14:paraId="71CE3027" w14:textId="77777777" w:rsidR="007B68C0" w:rsidRPr="007B68C0" w:rsidRDefault="007B68C0" w:rsidP="007B68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В текущем году факты нарушения трудовых прав работников на территории района выявлялись единичные. В тоже время, данный вопрос должен оставаться на постоянном контроле и при наличии признаков таких нарушений, они должны пресекаться совместными усилиями.</w:t>
      </w:r>
    </w:p>
    <w:p w14:paraId="0E1A49A6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Особое внимание уделялось защите социальных прав, прав престарелых и инвалидов. В данной сфере правоотношений межрайонной прокуратурой принимаются меры по восстановлению пенсионных прав граждан.</w:t>
      </w:r>
    </w:p>
    <w:p w14:paraId="218813FD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При осуществлении надзора за соблюдением прав и свобод человека и гражданина защите прав несовершеннолетних уделяется наибольшее внимание. Бездействие уполномоченных органов системы профилактики и прямое нарушение требований закона о защите семьи, материнства и детства, об образовании, о профилактике безнадзорности и правонарушений несовершеннолетних стали основанием для принятия свыше сотни актов прокурорского реагирования. За нарушения законодательства о правах несовершеннолетних привлечено к ответственности более 30 должностных лиц.</w:t>
      </w:r>
    </w:p>
    <w:p w14:paraId="7C738A9A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Администрацией Ханты-Мансийского района недостаточно принимаются меры к исполнению обязанности по предоставлению земельных участков многодетным семьям. Из 24 семей, состоящих на </w:t>
      </w:r>
      <w:r w:rsidRPr="007B68C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учете, только двум предоставлены участки в 2022 году и двум семьям планируется предоставить социальную выплату. </w:t>
      </w:r>
    </w:p>
    <w:p w14:paraId="779930E6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Полномочия по обеспечению жильем детей-сирот также не исполнены в полном объеме. На текущий момент в списке состоит 8 лиц указанной категории, приобретено администрацией района лишь 1 жилое помещение. При этом. необходимо отметить, что обязанность предоставить жилое помещение лицу, состоящему в списке, возникает у администрации района на следующий день после наступления совершеннолетия, а не в течени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года. </w:t>
      </w:r>
    </w:p>
    <w:p w14:paraId="4AF5EA9B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 xml:space="preserve">В современных условиях не менее актуальны вопросы </w:t>
      </w: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в жилищно-коммунальной сфере. Первоочередное внимание прокуратурой уделено вопросам оказания гражданам коммунальных услуг надлежащего качества, наличия задолженности управляющих компаний за поставленные коммунальные услуги, надлежащего осуществления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последними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функций по управлению жилищным фондом. По выявленным нарушениям закона в данной сфере принято более 50 актов прокурорского реагирования, в том числе, по материалам прокурорской проверки возбуждено 1 уголовное дело.</w:t>
      </w:r>
      <w:r w:rsidRPr="007B68C0">
        <w:rPr>
          <w:rFonts w:ascii="Arial" w:eastAsia="Times New Roman" w:hAnsi="Arial" w:cs="Arial"/>
          <w:sz w:val="32"/>
          <w:szCs w:val="32"/>
        </w:rPr>
        <w:t xml:space="preserve">  </w:t>
      </w:r>
      <w:r w:rsidRPr="007B68C0">
        <w:rPr>
          <w:rFonts w:ascii="Times New Roman" w:eastAsia="Times New Roman" w:hAnsi="Times New Roman" w:cs="Times New Roman"/>
          <w:sz w:val="32"/>
          <w:szCs w:val="32"/>
        </w:rPr>
        <w:t>К установленной законом ответственности привлечены должностные лица организаций жилищно-коммунального комплекса.</w:t>
      </w:r>
    </w:p>
    <w:p w14:paraId="57360A4F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В прошедшем году остро стояла проблема получения Ханты-Мансийским районом паспорта готовности к осенне-зимнему периоду. В результате принятых мер, в том числе, прокурорского реагирования и постоянному контролю со стороны межрайонной прокуратуры администрацией района и МП «ЖЭК-3» проведена работа, направленная на устранение нарушений, препятствующих получению паспорта готовности к отопительному сезону.</w:t>
      </w:r>
    </w:p>
    <w:p w14:paraId="4F3655E9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При этом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в текущем году судом удовлетворено исковое заявление прокурора о возложении на коммунальное предприятие обязанности по устранению нарушений, допущенных при подготовке с осенне-зимнего периода. Между тем, до настоящего времени муниципальным предприятием в прокуратуру не предоставлены сведения об исполнение данного судебного решения.</w:t>
      </w:r>
    </w:p>
    <w:p w14:paraId="728AA3FB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Вопрос получения паспорта готовности к отопительному сезону остается на моем личном контроле. </w:t>
      </w:r>
    </w:p>
    <w:p w14:paraId="4BC1DA4E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Кроме этого, МП «ЖЭК-3» регулярно накапливает долги за поставленные энергоресурсы. Меры к их погашению принимаются только после принятия мер прокурорского реагирования.</w:t>
      </w:r>
    </w:p>
    <w:p w14:paraId="66E0C191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Как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показали результаты прокурорских проверок причиной задолженности муниципального предприятия за энергоресурсы стало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отсутствие работы по взысканию дебиторской задолженности, за счет которой возможно долги погасить. На предприятии не налажена работа по учету дебиторов, размера их долга, акты сверки с ними не подписываются, меры к взысканию долгов не принимаются. Как показала проводимая в настоящее время проверка, значительную часть дебиторов МП ЖЭК-3 составляют муниципальные учреждения, школы, библиотеки, администрации сельских поселений, накопившие не малые долги за услуги ЖКХ, но данные факты остаются без должного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внимания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как руководства муниципального предприятия так и курирующих этот вопрос работников администрации района.</w:t>
      </w:r>
    </w:p>
    <w:p w14:paraId="576ED2B5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В прошедшем году прокуратурой принимались меры реагирования по вопросам предоставления населению качественной питьевой воды. Адекватные меры, направленные на устранение нарушений закона муниципалитетом не приняты. В настоящее время районным судом рассматривается гражданское дело по иску прокурора к администрации района, МП ЖЭК-3 и администрации сельского поселения </w:t>
      </w:r>
      <w:proofErr w:type="spellStart"/>
      <w:r w:rsidRPr="007B68C0">
        <w:rPr>
          <w:rFonts w:ascii="Times New Roman" w:eastAsia="Times New Roman" w:hAnsi="Times New Roman" w:cs="Times New Roman"/>
          <w:sz w:val="32"/>
          <w:szCs w:val="32"/>
        </w:rPr>
        <w:t>Цингалы</w:t>
      </w:r>
      <w:proofErr w:type="spell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о возложении обязанности по предоставлению населению воды надлежащего качества. </w:t>
      </w:r>
    </w:p>
    <w:p w14:paraId="51964D55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Но и предъявление иска не </w:t>
      </w:r>
      <w:proofErr w:type="spellStart"/>
      <w:r w:rsidRPr="007B68C0">
        <w:rPr>
          <w:rFonts w:ascii="Times New Roman" w:eastAsia="Times New Roman" w:hAnsi="Times New Roman" w:cs="Times New Roman"/>
          <w:sz w:val="32"/>
          <w:szCs w:val="32"/>
        </w:rPr>
        <w:t>сподвигло</w:t>
      </w:r>
      <w:proofErr w:type="spell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власти района принять меры по устранению нарушений прав жителей на нормальные условия жизни. В настоящее время не организована работа по решению проблемы качественной воды в районе.</w:t>
      </w:r>
    </w:p>
    <w:p w14:paraId="0E219F15" w14:textId="42FCF58D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Также в настоящее время расследуется уголовное дело по фактам мошенничества при строительстве КОС в деревне Шапша. Строился этот объект за счет средств автономного округа, </w:t>
      </w:r>
      <w:bookmarkStart w:id="1" w:name="_GoBack"/>
      <w:bookmarkEnd w:id="1"/>
      <w:r w:rsidRPr="007B68C0">
        <w:rPr>
          <w:rFonts w:ascii="Times New Roman" w:eastAsia="Times New Roman" w:hAnsi="Times New Roman" w:cs="Times New Roman"/>
          <w:sz w:val="32"/>
          <w:szCs w:val="32"/>
        </w:rPr>
        <w:t>заказчик – окружное управление капитального строительства. Как установлено в ходе проверки объект свои функции не выполняет, очистка стоков не происходит, ввиду его несоответствия проекту и условиям государственного контракта.</w:t>
      </w:r>
    </w:p>
    <w:p w14:paraId="3AE09D01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Не меньшую озабоченность вызывает вопрос расселения и сноса аварийного жилищного фонда. В прошлом году остались не освоенными бюджетные средства в размере более 95 миллионов рублей, предназначенные для ликвидации аварийных домов. Надо отметить, что указанные средства выделены в рамках реализации национальных проектов. На текущий момент по данным Департамента финансов на 01.08.2022 исполнение национального проекта «Жилье и городская среда»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Ханты-Мансийском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районе составляет 0%. </w:t>
      </w:r>
    </w:p>
    <w:p w14:paraId="55F407ED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Поскольку прокуратурой сопровождение реализации национальных проектов осуществляется в текущем режиме, данный вид надзора отнесен к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приоритетным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>, нами постоянно анализируется ситуация по законному и своевременному расходованию выделенных бюджетных средств.</w:t>
      </w:r>
    </w:p>
    <w:p w14:paraId="0DE103C4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В настоящее время администрацией района не приняты меры к надлежащей реализации национальных проектов «Малое и среднее предпринимательство».</w:t>
      </w:r>
    </w:p>
    <w:p w14:paraId="0C5A2290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Всего на 01.08.2022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Ханты-Мансийском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районе реализовано 2,1% выделенных бюджетных средств.</w:t>
      </w:r>
    </w:p>
    <w:p w14:paraId="78ECB62A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Вопросы соблюдения бюджетного законодательства и законодательства о контрактной системе закупок в целом находятся на постоянном контроле прокуратуры.</w:t>
      </w:r>
    </w:p>
    <w:p w14:paraId="2C1570E1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К административной и дисциплинарной ответственности в текущем году за нарушения, связанные с расходованием средств бюджетов всех уровней по инициативе прокурора привлечено более двух десятков должностных лиц. Нарушения законодательства о контрактной системе закупок выявлялись и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Ханты-Мансийском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районе.</w:t>
      </w:r>
    </w:p>
    <w:p w14:paraId="4D9838E3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В рамках надзора за соблюдением законодательства о закупках для государственных и муниципальных нужд особое внимание уделяется фактам несвоевременной оплаты муниципальными заказчиками выполненных работ. Такие факты требуют немедленного реагирования, поскольку </w:t>
      </w:r>
      <w:proofErr w:type="gramStart"/>
      <w:r w:rsidRPr="007B68C0">
        <w:rPr>
          <w:rFonts w:ascii="Times New Roman" w:eastAsia="Times New Roman" w:hAnsi="Times New Roman" w:cs="Times New Roman"/>
          <w:sz w:val="32"/>
          <w:szCs w:val="32"/>
        </w:rPr>
        <w:t>не поступление</w:t>
      </w:r>
      <w:proofErr w:type="gramEnd"/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 средств от муниципального заказчика может повлечь для субъектов предпринимательства последствия в виде невыплаты заработной платы, накоплении долгов перед контрагентами. В текущем году такое нарушение выявлено в Доме культуры сельского поселения Шапша.</w:t>
      </w:r>
    </w:p>
    <w:p w14:paraId="63CB2B70" w14:textId="77777777" w:rsidR="007B68C0" w:rsidRPr="007B68C0" w:rsidRDefault="007B68C0" w:rsidP="007B68C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 xml:space="preserve">Под пристальным вниманием прокуратуры остаются вопросы защиты прав предпринимателей. По всем фактам нарушения законодательства о государственном контроле, надзоре, муниципальном контроле принимаются меры прокурорского реагирования, виновные лица привлекаются к установленной, вплоть до уголовной, ответственности. </w:t>
      </w:r>
    </w:p>
    <w:p w14:paraId="044E52C4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BC9CBF8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Продолжены мероприятия по пресечению экологических правонарушений.  Внимание в данной сфере надзора потребовали вопросы соблюдения требований законодательства о защите вод и атмосферного воздуха, земли и почв, лесопользовании. На территории </w:t>
      </w:r>
      <w:r w:rsidRPr="007B68C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района остро стоит вопрос по ликвидации несанкционированных ме</w:t>
      </w:r>
      <w:proofErr w:type="gramStart"/>
      <w:r w:rsidRPr="007B68C0">
        <w:rPr>
          <w:rFonts w:ascii="Times New Roman" w:eastAsia="Times New Roman" w:hAnsi="Times New Roman" w:cs="Times New Roman"/>
          <w:color w:val="000000"/>
          <w:sz w:val="32"/>
          <w:szCs w:val="32"/>
        </w:rPr>
        <w:t>ст скл</w:t>
      </w:r>
      <w:proofErr w:type="gramEnd"/>
      <w:r w:rsidRPr="007B68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адирования отходов, строительством скотомогильника в п. Кирпичный. </w:t>
      </w:r>
    </w:p>
    <w:p w14:paraId="17A2CDBA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>В постоянном поле зрения прокуратуры находились вопросы соблюдения законодательства о межнациональных отношениях, противодействии экстремизму и терроризму.</w:t>
      </w:r>
    </w:p>
    <w:p w14:paraId="5BBB09DF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>В данной сфере уполномоченными органами власти приняты определенные меры, которые позволили сохранить в районе стабильную обстановку, не допустить актов терроризма, массовых конфликтов на национальной и религиозной почве.</w:t>
      </w:r>
    </w:p>
    <w:p w14:paraId="31769DC8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>В то же время, практика прокурорского надзора свидетельствует о том, что обозначенное направление продолжает оставаться актуальным.</w:t>
      </w:r>
    </w:p>
    <w:p w14:paraId="2E8FDF78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 xml:space="preserve">Вопрос антитеррористической защищенности актуален для учреждений культуры района, посетителями которых являются, в том числе, дети. </w:t>
      </w:r>
    </w:p>
    <w:p w14:paraId="607CC1F4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>Серьезную опасность представляет проблема распространения радикальных идей, а также информации экстремистского и террористического толка через сеть «Интернет». В связи с чем, органам местного самоуправления необходимо активизироваться в части мониторинга сети «Интернет», выявления запрещенного контента и направления информации в прокуратуру для его блокировки.</w:t>
      </w:r>
    </w:p>
    <w:p w14:paraId="2D2992CC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>Продолжает оставаться актуальным надзор за соблюдением антикоррупционного законодательства. В текущем году выявлено более шести десятков нарушений закона в данной сфере, в том числе в сфере муниципальной службы.</w:t>
      </w:r>
    </w:p>
    <w:p w14:paraId="2EF157D4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>По результатам рассмотрения актов реагирования должностные лица администрации района привлечены к дисциплинарной ответственности (12) за предоставление недостоверных сведений о доходах, расходах, имуществе и обязательствах имущественного характера.</w:t>
      </w:r>
    </w:p>
    <w:p w14:paraId="7BC330EF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>В настоящее время проводится аналогичная проверка в отношении депутатов районной Думы.</w:t>
      </w:r>
    </w:p>
    <w:p w14:paraId="0A3947A0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Пристальное внимание необходимо обратить на вопросы соблюдения законодательства об урегулировании конфликтов интересов. Нарушение этих требований устанавливались в администрациях сельских поседений </w:t>
      </w:r>
      <w:proofErr w:type="spellStart"/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>Кышик</w:t>
      </w:r>
      <w:proofErr w:type="spellEnd"/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>Цингалы</w:t>
      </w:r>
      <w:proofErr w:type="spellEnd"/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>, администрации района</w:t>
      </w:r>
      <w:r w:rsidRPr="007B68C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27D6FE9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t xml:space="preserve">По материалам прокурорской проверки бывший сотрудник Комитета образования района привлекается к уголовной </w:t>
      </w:r>
      <w:r w:rsidRPr="007B68C0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ответственности за хищение бюджетных средств района. По ее инициативе Комитетом заключен муниципальный контракт на проведение мероприятия, работы по которому не выполнялись, а оплаченные исполнителю бюджетные средства обналичены и поделены между работником Комитета и представителем исполнителя.</w:t>
      </w:r>
    </w:p>
    <w:p w14:paraId="313B0C9F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Характеризуя состояние преступности в целом, необходимо отметить, что уровень ее снизился на 9%, при этом</w:t>
      </w:r>
      <w:r w:rsidRPr="007B68C0">
        <w:rPr>
          <w:rFonts w:ascii="Times New Roman" w:eastAsia="Times New Roman" w:hAnsi="Times New Roman" w:cs="Times New Roman"/>
          <w:iCs/>
          <w:sz w:val="32"/>
          <w:szCs w:val="32"/>
        </w:rPr>
        <w:t xml:space="preserve"> раскрываемость преступлений осталась на том же уровне и составила 50%.</w:t>
      </w:r>
    </w:p>
    <w:p w14:paraId="415FF479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Значительные усилия прокуратуры потребовались для обеспечения законности на начальной стадии уголовного судопроизводства.</w:t>
      </w:r>
    </w:p>
    <w:p w14:paraId="19328F17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При приеме, регистрации, рассмотрении правоохранительными органами сообщений о преступлениях, производстве следствия и дознания правоохранительными органами допущено более 1100 нарушений закона (в районе 350). Прокуратурой выявлено и поставлено на учет более 85 (в районе 20) преступлений, ранее неизвестных и неучтенных правоохранительными органами по различным причинам. После вмешательства прокуратуры по результатам дополнительных проверок возбуждено более 100 уголовных дел (район 25). </w:t>
      </w:r>
    </w:p>
    <w:p w14:paraId="43A8239F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 xml:space="preserve">Судами в прошедшем году рассмотрено более 240 уголовных дел, по которым государственной обвинение поддержано межрайонной прокуратурой, более 200 гражданских и административных дел с участием прокурора. </w:t>
      </w:r>
    </w:p>
    <w:p w14:paraId="246B626E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Помимо надзорной деятельности межрайонной прокуратурой уделяется большое внимание взаимодействию с общественностью, средствами массовой информации и правовому просвещению граждан.</w:t>
      </w:r>
    </w:p>
    <w:p w14:paraId="46ABDD5E" w14:textId="77777777" w:rsidR="007B68C0" w:rsidRPr="007B68C0" w:rsidRDefault="007B68C0" w:rsidP="007B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В прошедшем году проведено около 300 мероприятий по разъяснению законодательства и освещения работы прокуратуры.</w:t>
      </w:r>
    </w:p>
    <w:p w14:paraId="4A583CF5" w14:textId="77777777" w:rsidR="007B68C0" w:rsidRPr="007B68C0" w:rsidRDefault="007B68C0" w:rsidP="007B6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8C0">
        <w:rPr>
          <w:rFonts w:ascii="Times New Roman" w:eastAsia="Times New Roman" w:hAnsi="Times New Roman" w:cs="Times New Roman"/>
          <w:sz w:val="32"/>
          <w:szCs w:val="32"/>
        </w:rPr>
        <w:t>Настоящая информация в соответствии со статьей 4 Федерального закона «О прокуратуре Российской Федерации» для вашего сведения и выработки решений в соответствии с предоставленными полномочиями.</w:t>
      </w:r>
    </w:p>
    <w:p w14:paraId="5FC67830" w14:textId="77777777" w:rsidR="005C01E8" w:rsidRDefault="005C01E8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5BFDB568" w14:textId="77777777" w:rsidR="005C01E8" w:rsidRDefault="005C01E8" w:rsidP="005C01E8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bookmarkEnd w:id="0"/>
    <w:sectPr w:rsidR="005C01E8" w:rsidSect="005C01E8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E8FCF" w14:textId="77777777" w:rsidR="00AD74E5" w:rsidRDefault="00AD74E5" w:rsidP="004511D6">
      <w:pPr>
        <w:spacing w:after="0" w:line="240" w:lineRule="auto"/>
      </w:pPr>
      <w:r>
        <w:separator/>
      </w:r>
    </w:p>
  </w:endnote>
  <w:endnote w:type="continuationSeparator" w:id="0">
    <w:p w14:paraId="524DD9AE" w14:textId="77777777" w:rsidR="00AD74E5" w:rsidRDefault="00AD74E5" w:rsidP="0045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66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2549C1" w14:textId="7497148C" w:rsidR="005C01E8" w:rsidRPr="005C01E8" w:rsidRDefault="005C01E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C01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01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01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8C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5C01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4AD35" w14:textId="77777777" w:rsidR="00AD74E5" w:rsidRDefault="00AD74E5" w:rsidP="004511D6">
      <w:pPr>
        <w:spacing w:after="0" w:line="240" w:lineRule="auto"/>
      </w:pPr>
      <w:r>
        <w:separator/>
      </w:r>
    </w:p>
  </w:footnote>
  <w:footnote w:type="continuationSeparator" w:id="0">
    <w:p w14:paraId="6F2B95C8" w14:textId="77777777" w:rsidR="00AD74E5" w:rsidRDefault="00AD74E5" w:rsidP="00451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A7"/>
    <w:rsid w:val="00024579"/>
    <w:rsid w:val="00124FDF"/>
    <w:rsid w:val="00144176"/>
    <w:rsid w:val="00146E23"/>
    <w:rsid w:val="00167420"/>
    <w:rsid w:val="00176282"/>
    <w:rsid w:val="002030A9"/>
    <w:rsid w:val="00203C53"/>
    <w:rsid w:val="00211384"/>
    <w:rsid w:val="0024096F"/>
    <w:rsid w:val="0026370A"/>
    <w:rsid w:val="002877C0"/>
    <w:rsid w:val="002F0691"/>
    <w:rsid w:val="00304735"/>
    <w:rsid w:val="00331D1D"/>
    <w:rsid w:val="003F4F91"/>
    <w:rsid w:val="00437AC2"/>
    <w:rsid w:val="00440F08"/>
    <w:rsid w:val="00441C8A"/>
    <w:rsid w:val="004511D6"/>
    <w:rsid w:val="004A7D23"/>
    <w:rsid w:val="004B00F0"/>
    <w:rsid w:val="00524900"/>
    <w:rsid w:val="00532EF8"/>
    <w:rsid w:val="00582A12"/>
    <w:rsid w:val="005A14BC"/>
    <w:rsid w:val="005C0172"/>
    <w:rsid w:val="005C01E8"/>
    <w:rsid w:val="00640476"/>
    <w:rsid w:val="00674B87"/>
    <w:rsid w:val="0069127F"/>
    <w:rsid w:val="006C5479"/>
    <w:rsid w:val="006C55FF"/>
    <w:rsid w:val="007140A4"/>
    <w:rsid w:val="00717A18"/>
    <w:rsid w:val="007868E9"/>
    <w:rsid w:val="007B68C0"/>
    <w:rsid w:val="008178C6"/>
    <w:rsid w:val="00856A0E"/>
    <w:rsid w:val="00886F40"/>
    <w:rsid w:val="008D234E"/>
    <w:rsid w:val="0090008B"/>
    <w:rsid w:val="00920646"/>
    <w:rsid w:val="00936181"/>
    <w:rsid w:val="00936FE6"/>
    <w:rsid w:val="009B22AF"/>
    <w:rsid w:val="009F63E6"/>
    <w:rsid w:val="00A50A5B"/>
    <w:rsid w:val="00AB254D"/>
    <w:rsid w:val="00AD17F0"/>
    <w:rsid w:val="00AD74E5"/>
    <w:rsid w:val="00B10B53"/>
    <w:rsid w:val="00B614DA"/>
    <w:rsid w:val="00B64FFC"/>
    <w:rsid w:val="00B83094"/>
    <w:rsid w:val="00BA0EF0"/>
    <w:rsid w:val="00BD6568"/>
    <w:rsid w:val="00BE5AA7"/>
    <w:rsid w:val="00C0673F"/>
    <w:rsid w:val="00C26E15"/>
    <w:rsid w:val="00C84A00"/>
    <w:rsid w:val="00C9212A"/>
    <w:rsid w:val="00D80D65"/>
    <w:rsid w:val="00D94048"/>
    <w:rsid w:val="00DA0367"/>
    <w:rsid w:val="00DA3CCC"/>
    <w:rsid w:val="00DC49C0"/>
    <w:rsid w:val="00E62ED3"/>
    <w:rsid w:val="00ED7C3B"/>
    <w:rsid w:val="00EF2927"/>
    <w:rsid w:val="00F06DDC"/>
    <w:rsid w:val="00F80E12"/>
    <w:rsid w:val="00FA37B4"/>
    <w:rsid w:val="00FA5854"/>
    <w:rsid w:val="00FC0CEB"/>
    <w:rsid w:val="00FD38A7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4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6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206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06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0646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5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1D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5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1D6"/>
    <w:rPr>
      <w:rFonts w:eastAsiaTheme="minorEastAsia"/>
      <w:lang w:eastAsia="ru-RU"/>
    </w:rPr>
  </w:style>
  <w:style w:type="table" w:styleId="a9">
    <w:name w:val="Table Grid"/>
    <w:basedOn w:val="a1"/>
    <w:uiPriority w:val="59"/>
    <w:semiHidden/>
    <w:unhideWhenUsed/>
    <w:rsid w:val="00EF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C26E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6E15"/>
    <w:rPr>
      <w:rFonts w:eastAsiaTheme="minorEastAsia"/>
      <w:lang w:eastAsia="ru-RU"/>
    </w:rPr>
  </w:style>
  <w:style w:type="character" w:styleId="ac">
    <w:name w:val="Hyperlink"/>
    <w:rsid w:val="00C26E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0EF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287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6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206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06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0646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5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1D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5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1D6"/>
    <w:rPr>
      <w:rFonts w:eastAsiaTheme="minorEastAsia"/>
      <w:lang w:eastAsia="ru-RU"/>
    </w:rPr>
  </w:style>
  <w:style w:type="table" w:styleId="a9">
    <w:name w:val="Table Grid"/>
    <w:basedOn w:val="a1"/>
    <w:uiPriority w:val="59"/>
    <w:semiHidden/>
    <w:unhideWhenUsed/>
    <w:rsid w:val="00EF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C26E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6E15"/>
    <w:rPr>
      <w:rFonts w:eastAsiaTheme="minorEastAsia"/>
      <w:lang w:eastAsia="ru-RU"/>
    </w:rPr>
  </w:style>
  <w:style w:type="character" w:styleId="ac">
    <w:name w:val="Hyperlink"/>
    <w:rsid w:val="00C26E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0EF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287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2D1F-BC90-4AE0-A30C-C5A71771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БурдужанОН</dc:creator>
  <cp:keywords/>
  <dc:description/>
  <cp:lastModifiedBy>Халикова Светлана</cp:lastModifiedBy>
  <cp:revision>5</cp:revision>
  <cp:lastPrinted>2022-09-16T06:43:00Z</cp:lastPrinted>
  <dcterms:created xsi:type="dcterms:W3CDTF">2022-09-14T10:24:00Z</dcterms:created>
  <dcterms:modified xsi:type="dcterms:W3CDTF">2022-09-21T10:03:00Z</dcterms:modified>
</cp:coreProperties>
</file>